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2FE" w:rsidRDefault="001302FE" w:rsidP="001302FE">
      <w:pPr>
        <w:jc w:val="center"/>
      </w:pPr>
    </w:p>
    <w:p w:rsidR="001302FE" w:rsidRDefault="001302FE" w:rsidP="001302FE">
      <w:pPr>
        <w:jc w:val="center"/>
      </w:pPr>
    </w:p>
    <w:p w:rsidR="001302FE" w:rsidRDefault="001302FE" w:rsidP="001302FE">
      <w:pPr>
        <w:jc w:val="center"/>
      </w:pPr>
    </w:p>
    <w:p w:rsidR="001302FE" w:rsidRDefault="001302FE" w:rsidP="001302FE">
      <w:pPr>
        <w:jc w:val="center"/>
      </w:pPr>
    </w:p>
    <w:p w:rsidR="001302FE" w:rsidRDefault="001302FE" w:rsidP="001302FE">
      <w:pPr>
        <w:jc w:val="center"/>
      </w:pPr>
    </w:p>
    <w:p w:rsidR="001302FE" w:rsidRDefault="001302FE" w:rsidP="001302FE">
      <w:pPr>
        <w:jc w:val="center"/>
      </w:pPr>
    </w:p>
    <w:p w:rsidR="001302FE" w:rsidRPr="001302FE" w:rsidRDefault="001302FE" w:rsidP="001302FE">
      <w:pPr>
        <w:jc w:val="center"/>
      </w:pPr>
      <w:r w:rsidRPr="001302FE">
        <w:t>Economic Impact of Leaving Eurozone</w:t>
      </w:r>
    </w:p>
    <w:p w:rsidR="001302FE" w:rsidRPr="001302FE" w:rsidRDefault="001302FE" w:rsidP="001302FE">
      <w:pPr>
        <w:jc w:val="center"/>
      </w:pPr>
      <w:r w:rsidRPr="001302FE">
        <w:t>Name</w:t>
      </w:r>
    </w:p>
    <w:p w:rsidR="001302FE" w:rsidRPr="001302FE" w:rsidRDefault="001302FE" w:rsidP="001302FE">
      <w:pPr>
        <w:jc w:val="center"/>
      </w:pPr>
      <w:r w:rsidRPr="001302FE">
        <w:t>Institution</w:t>
      </w:r>
    </w:p>
    <w:p w:rsidR="001302FE" w:rsidRPr="001302FE" w:rsidRDefault="001302FE" w:rsidP="001302FE">
      <w:pPr>
        <w:jc w:val="center"/>
      </w:pPr>
      <w:r w:rsidRPr="001302FE">
        <w:t>Course Information</w:t>
      </w:r>
    </w:p>
    <w:p w:rsidR="001302FE" w:rsidRDefault="001302FE" w:rsidP="001302FE"/>
    <w:p w:rsidR="001302FE" w:rsidRDefault="001302FE" w:rsidP="001302FE"/>
    <w:p w:rsidR="001302FE" w:rsidRDefault="001302FE" w:rsidP="001302FE"/>
    <w:p w:rsidR="001302FE" w:rsidRDefault="001302FE" w:rsidP="001302FE"/>
    <w:p w:rsidR="001302FE" w:rsidRDefault="001302FE" w:rsidP="001302FE"/>
    <w:p w:rsidR="001302FE" w:rsidRDefault="001302FE" w:rsidP="001302FE"/>
    <w:p w:rsidR="001302FE" w:rsidRDefault="001302FE" w:rsidP="001302FE"/>
    <w:p w:rsidR="001302FE" w:rsidRDefault="001302FE" w:rsidP="001302FE"/>
    <w:p w:rsidR="001302FE" w:rsidRDefault="001302FE" w:rsidP="001302FE"/>
    <w:p w:rsidR="001302FE" w:rsidRDefault="001302FE" w:rsidP="001302FE"/>
    <w:p w:rsidR="001302FE" w:rsidRDefault="001302FE" w:rsidP="001302FE"/>
    <w:p w:rsidR="001302FE" w:rsidRDefault="001302FE" w:rsidP="001302FE"/>
    <w:p w:rsidR="001302FE" w:rsidRDefault="001302FE" w:rsidP="001302FE"/>
    <w:p w:rsidR="001302FE" w:rsidRPr="001302FE" w:rsidRDefault="001302FE" w:rsidP="001302FE">
      <w:pPr>
        <w:jc w:val="center"/>
      </w:pPr>
      <w:r w:rsidRPr="001302FE">
        <w:lastRenderedPageBreak/>
        <w:t>Economic Impact of Leaving Eurozone</w:t>
      </w:r>
    </w:p>
    <w:p w:rsidR="00BE7CB6" w:rsidRPr="001302FE" w:rsidRDefault="003C4457" w:rsidP="001302FE">
      <w:pPr>
        <w:ind w:firstLine="720"/>
      </w:pPr>
      <w:r w:rsidRPr="001302FE">
        <w:t xml:space="preserve">Leaving the Eurozone caused a negative economic multiplier effect for Britain as the country completed its Brexit plan. Investment flows declined notably in the weeks after the completion of Brexit largely due to the uncertainty surrounding the campaign. Uncertainty is among the worst factors to consider for a currency trader. Investors on the forex market have the primary intention of making a profit, indicating how uncertainty surrounding a particular currency will affect its overall value. This held true for Britain in the months following Brexit and will be similarly experienced by other countries that choose to leave the Eurozone. A move similar to the mould of Brexit will make investors unwilling to continue moving money for practical purposes as it plays on the confidence of the overall investor group. Britain chose to control immigration </w:t>
      </w:r>
      <w:r w:rsidR="005C2767">
        <w:t>over single market access (Ebell &amp; Warren, 2016). This further diminished</w:t>
      </w:r>
      <w:r w:rsidRPr="001302FE">
        <w:t xml:space="preserve"> the confidence of investors that the British Pound would quickly recover against the Euro. </w:t>
      </w:r>
    </w:p>
    <w:p w:rsidR="007F3814" w:rsidRPr="001302FE" w:rsidRDefault="00D61231" w:rsidP="001302FE">
      <w:pPr>
        <w:ind w:firstLine="720"/>
      </w:pPr>
      <w:r w:rsidRPr="001302FE">
        <w:t>For countries that seek to leave the Eurozone, it could likely create a weaker currency in the short term and cause problems for the economy of that country. It will become more expensive to purchase goods from Europe, meaning that the country will import less from Eurozone countries</w:t>
      </w:r>
      <w:r w:rsidR="005C2767">
        <w:t xml:space="preserve"> (Wright, 2016)</w:t>
      </w:r>
      <w:r w:rsidRPr="001302FE">
        <w:t>. In addition, Eurozone countries will impose tariffs from trade negotiations with countries that are not in the Eurozone. The reaction by Britain following Brexit is likely to be the same response adopted by other countries that follow a similar plan. Britain attempted to initiate monetary stimulus, but this response generally weakens a currency</w:t>
      </w:r>
      <w:r w:rsidR="005C2767">
        <w:t xml:space="preserve"> (Ebell &amp; Warren, 2016)</w:t>
      </w:r>
      <w:r w:rsidRPr="001302FE">
        <w:t>. Countries would be better off cutting interest rates and injecting more money into the economy to generate faster recovery against the Euro.</w:t>
      </w:r>
      <w:r w:rsidR="00BE7CB6" w:rsidRPr="001302FE">
        <w:t xml:space="preserve"> Countries that would be willing to negotiate single market access without freedom of movement are likely to improve </w:t>
      </w:r>
      <w:r w:rsidR="00BE7CB6" w:rsidRPr="001302FE">
        <w:lastRenderedPageBreak/>
        <w:t xml:space="preserve">investor confidence in the possibility of quick recovery and long-term stability of their currencies. </w:t>
      </w:r>
    </w:p>
    <w:p w:rsidR="00285F21" w:rsidRPr="001302FE" w:rsidRDefault="00285F21" w:rsidP="001302FE">
      <w:pPr>
        <w:ind w:firstLine="720"/>
      </w:pPr>
      <w:r w:rsidRPr="001302FE">
        <w:t>Following an event similar to Brexit, markets are likely to hold short positions. This is a position where a trader who shorts a currency expects it to weaken, and borrows the currency to resell on the market. It follows the assumption that the market will move as expected, resulting in a weaker exchange rate and the trader being able to buy back the shorted currency at a lower price than they sold it</w:t>
      </w:r>
      <w:r w:rsidR="005C2767">
        <w:t xml:space="preserve"> (Wright, 2016)</w:t>
      </w:r>
      <w:r w:rsidRPr="001302FE">
        <w:t xml:space="preserve">. The strategy of buying low after selling high is more likely to happen in a scenario where a country leaves the Eurozone as Britain did. </w:t>
      </w:r>
      <w:r w:rsidR="00402907" w:rsidRPr="001302FE">
        <w:t>It means that for any other countries considering this option, their currency will experience an initial drop before recovering slightly but remaining near the new low as the government attempts to help its currency recover some of its losses</w:t>
      </w:r>
      <w:r w:rsidR="005C2767">
        <w:t xml:space="preserve"> (Ebell &amp; Warren, 2016)</w:t>
      </w:r>
      <w:r w:rsidR="00402907" w:rsidRPr="001302FE">
        <w:t xml:space="preserve">. </w:t>
      </w:r>
      <w:r w:rsidR="00F36FB4" w:rsidRPr="001302FE">
        <w:t xml:space="preserve">The market will attempt to sell the currency of that country in large quantities meaning that the currency will be further weakened due to low demand from investors. However, this short position is unlikely to last for too long as the currency will inevitably reach a profitable level where it will become profitable again and generate wide demand on the market. </w:t>
      </w:r>
      <w:r w:rsidR="00195320" w:rsidRPr="001302FE">
        <w:t xml:space="preserve"> </w:t>
      </w:r>
    </w:p>
    <w:p w:rsidR="007A063A" w:rsidRPr="001302FE" w:rsidRDefault="007A063A" w:rsidP="001302FE">
      <w:pPr>
        <w:ind w:firstLine="720"/>
      </w:pPr>
      <w:r w:rsidRPr="001302FE">
        <w:t>Any other Eurozone country leaving the zone will place significant strain on the common currency. The main reason is that it will be difficult for people to hold Euros if other countries in the Eurozone decided to leave. The Euro would be impacted by the deflationary pressures and fall to parity in relation to the American dollar</w:t>
      </w:r>
      <w:r w:rsidR="001302FE">
        <w:t xml:space="preserve"> (Ebell &amp; Warren, 2016)</w:t>
      </w:r>
      <w:r w:rsidRPr="001302FE">
        <w:t xml:space="preserve">. </w:t>
      </w:r>
      <w:r w:rsidR="00315CE8" w:rsidRPr="001302FE">
        <w:t xml:space="preserve">This is the short-term effect as </w:t>
      </w:r>
      <w:r w:rsidR="00BC4554" w:rsidRPr="001302FE">
        <w:t xml:space="preserve">the Euro would fall in demand. The inverse is likely to be the case over the long-term as the Euro may be worth more than the currencies of the nations that leave the Eurozone. The various pressures that each currency would face in individual countries would lead to those currencies dropping and the Euro rising in demand. </w:t>
      </w:r>
      <w:r w:rsidR="00AE1AD6" w:rsidRPr="001302FE">
        <w:t xml:space="preserve">Volatility from both the Euro and the </w:t>
      </w:r>
      <w:r w:rsidR="00AE1AD6" w:rsidRPr="001302FE">
        <w:lastRenderedPageBreak/>
        <w:t>currency of the exiting country would lead to overvaluation or undervaluation of the currencies, leading to either currency being decoupled from real economic data. It would create further unpredictability in the forex markets</w:t>
      </w:r>
      <w:r w:rsidR="007508DC" w:rsidRPr="001302FE">
        <w:t xml:space="preserve">, meaning that an exit for any country is more likely to hurt that national currency than the dollar. </w:t>
      </w:r>
    </w:p>
    <w:p w:rsidR="005C2767" w:rsidRDefault="005C2767" w:rsidP="001302FE">
      <w:pPr>
        <w:jc w:val="center"/>
      </w:pPr>
    </w:p>
    <w:p w:rsidR="005C2767" w:rsidRDefault="005C2767" w:rsidP="001302FE">
      <w:pPr>
        <w:jc w:val="center"/>
      </w:pPr>
    </w:p>
    <w:p w:rsidR="005C2767" w:rsidRDefault="005C2767" w:rsidP="001302FE">
      <w:pPr>
        <w:jc w:val="center"/>
      </w:pPr>
    </w:p>
    <w:p w:rsidR="005C2767" w:rsidRDefault="005C2767" w:rsidP="001302FE">
      <w:pPr>
        <w:jc w:val="center"/>
      </w:pPr>
    </w:p>
    <w:p w:rsidR="001302FE" w:rsidRPr="001302FE" w:rsidRDefault="001302FE" w:rsidP="001302FE">
      <w:pPr>
        <w:jc w:val="center"/>
      </w:pPr>
      <w:r w:rsidRPr="001302FE">
        <w:t>References</w:t>
      </w:r>
    </w:p>
    <w:p w:rsidR="001302FE" w:rsidRPr="001302FE" w:rsidRDefault="001302FE" w:rsidP="005C2767">
      <w:pPr>
        <w:ind w:left="720" w:hanging="720"/>
      </w:pPr>
      <w:r w:rsidRPr="001302FE">
        <w:rPr>
          <w:color w:val="222222"/>
          <w:shd w:val="clear" w:color="auto" w:fill="FFFFFF"/>
        </w:rPr>
        <w:t>Ebell, M., &amp; Warren, J. (2016). The long-term economic impact of leaving the EU. </w:t>
      </w:r>
      <w:r w:rsidRPr="001302FE">
        <w:rPr>
          <w:i/>
          <w:iCs/>
          <w:color w:val="222222"/>
          <w:shd w:val="clear" w:color="auto" w:fill="FFFFFF"/>
        </w:rPr>
        <w:t>National Institute Economic Review</w:t>
      </w:r>
      <w:r w:rsidRPr="001302FE">
        <w:rPr>
          <w:color w:val="222222"/>
          <w:shd w:val="clear" w:color="auto" w:fill="FFFFFF"/>
        </w:rPr>
        <w:t>, </w:t>
      </w:r>
      <w:r w:rsidRPr="001302FE">
        <w:rPr>
          <w:i/>
          <w:iCs/>
          <w:color w:val="222222"/>
          <w:shd w:val="clear" w:color="auto" w:fill="FFFFFF"/>
        </w:rPr>
        <w:t>236</w:t>
      </w:r>
      <w:r w:rsidRPr="001302FE">
        <w:rPr>
          <w:color w:val="222222"/>
          <w:shd w:val="clear" w:color="auto" w:fill="FFFFFF"/>
        </w:rPr>
        <w:t xml:space="preserve">(1), 121-138. </w:t>
      </w:r>
    </w:p>
    <w:p w:rsidR="001302FE" w:rsidRPr="001302FE" w:rsidRDefault="001302FE" w:rsidP="005C2767">
      <w:pPr>
        <w:ind w:left="720" w:hanging="720"/>
      </w:pPr>
      <w:r w:rsidRPr="001302FE">
        <w:rPr>
          <w:color w:val="222222"/>
          <w:shd w:val="clear" w:color="auto" w:fill="FFFFFF"/>
        </w:rPr>
        <w:t>Wright, W. (2016). The Potential Impact of Brexit on European Capital Markets. </w:t>
      </w:r>
      <w:r w:rsidRPr="001302FE">
        <w:rPr>
          <w:i/>
          <w:iCs/>
          <w:color w:val="222222"/>
          <w:shd w:val="clear" w:color="auto" w:fill="FFFFFF"/>
        </w:rPr>
        <w:t>New Financial</w:t>
      </w:r>
      <w:r w:rsidRPr="001302FE">
        <w:rPr>
          <w:color w:val="222222"/>
          <w:shd w:val="clear" w:color="auto" w:fill="FFFFFF"/>
        </w:rPr>
        <w:t xml:space="preserve">. </w:t>
      </w:r>
    </w:p>
    <w:sectPr w:rsidR="001302FE" w:rsidRPr="001302FE" w:rsidSect="001302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0564" w:rsidRDefault="00E90564" w:rsidP="001302FE">
      <w:pPr>
        <w:spacing w:line="240" w:lineRule="auto"/>
      </w:pPr>
      <w:r>
        <w:separator/>
      </w:r>
    </w:p>
  </w:endnote>
  <w:endnote w:type="continuationSeparator" w:id="1">
    <w:p w:rsidR="00E90564" w:rsidRDefault="00E90564" w:rsidP="001302F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0564" w:rsidRDefault="00E90564" w:rsidP="001302FE">
      <w:pPr>
        <w:spacing w:line="240" w:lineRule="auto"/>
      </w:pPr>
      <w:r>
        <w:separator/>
      </w:r>
    </w:p>
  </w:footnote>
  <w:footnote w:type="continuationSeparator" w:id="1">
    <w:p w:rsidR="00E90564" w:rsidRDefault="00E90564" w:rsidP="001302F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32900"/>
      <w:docPartObj>
        <w:docPartGallery w:val="Page Numbers (Top of Page)"/>
        <w:docPartUnique/>
      </w:docPartObj>
    </w:sdtPr>
    <w:sdtContent>
      <w:p w:rsidR="001302FE" w:rsidRDefault="001302FE">
        <w:pPr>
          <w:pStyle w:val="Header"/>
          <w:jc w:val="right"/>
        </w:pPr>
        <w:r>
          <w:t>BREXIT IMPACT</w:t>
        </w:r>
        <w:r>
          <w:tab/>
        </w:r>
        <w:r>
          <w:tab/>
        </w:r>
        <w:fldSimple w:instr=" PAGE   \* MERGEFORMAT ">
          <w:r w:rsidR="005C2767">
            <w:rPr>
              <w:noProof/>
            </w:rPr>
            <w:t>4</w:t>
          </w:r>
        </w:fldSimple>
      </w:p>
    </w:sdtContent>
  </w:sdt>
  <w:p w:rsidR="001302FE" w:rsidRDefault="001302F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FE" w:rsidRDefault="001302FE">
    <w:pPr>
      <w:pStyle w:val="Header"/>
    </w:pPr>
    <w:r>
      <w:t>Running head: BREXIT IMPACT</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C4457"/>
    <w:rsid w:val="001302FE"/>
    <w:rsid w:val="00195320"/>
    <w:rsid w:val="001B24DA"/>
    <w:rsid w:val="00285F21"/>
    <w:rsid w:val="00315CE8"/>
    <w:rsid w:val="003C4457"/>
    <w:rsid w:val="00402907"/>
    <w:rsid w:val="005C2767"/>
    <w:rsid w:val="007508DC"/>
    <w:rsid w:val="007A063A"/>
    <w:rsid w:val="007B7D6E"/>
    <w:rsid w:val="007F3814"/>
    <w:rsid w:val="009B0259"/>
    <w:rsid w:val="00AE1AD6"/>
    <w:rsid w:val="00BC4554"/>
    <w:rsid w:val="00BE7CB6"/>
    <w:rsid w:val="00D61231"/>
    <w:rsid w:val="00E90564"/>
    <w:rsid w:val="00F36F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02FE"/>
    <w:pPr>
      <w:tabs>
        <w:tab w:val="center" w:pos="4680"/>
        <w:tab w:val="right" w:pos="9360"/>
      </w:tabs>
      <w:spacing w:line="240" w:lineRule="auto"/>
    </w:pPr>
  </w:style>
  <w:style w:type="character" w:customStyle="1" w:styleId="HeaderChar">
    <w:name w:val="Header Char"/>
    <w:basedOn w:val="DefaultParagraphFont"/>
    <w:link w:val="Header"/>
    <w:uiPriority w:val="99"/>
    <w:rsid w:val="001302FE"/>
  </w:style>
  <w:style w:type="paragraph" w:styleId="Footer">
    <w:name w:val="footer"/>
    <w:basedOn w:val="Normal"/>
    <w:link w:val="FooterChar"/>
    <w:uiPriority w:val="99"/>
    <w:semiHidden/>
    <w:unhideWhenUsed/>
    <w:rsid w:val="001302F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302F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701</Words>
  <Characters>3997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2018-03-07T19:58:00Z</dcterms:created>
  <dcterms:modified xsi:type="dcterms:W3CDTF">2018-03-07T19:58:00Z</dcterms:modified>
</cp:coreProperties>
</file>